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31" w:rsidRPr="009017A8" w:rsidRDefault="009017A8" w:rsidP="009017A8">
      <w:pPr>
        <w:jc w:val="both"/>
        <w:rPr>
          <w:b/>
        </w:rPr>
      </w:pPr>
      <w:r w:rsidRPr="009017A8">
        <w:rPr>
          <w:b/>
        </w:rPr>
        <w:t>Перечень поручений Президента Российской Федерации по итогам совещания по вопросу диверсификации производства продукции гражданского назначения организациями ОПК (утв. Президентом РФ 17.03.2018 № Пр-288).</w:t>
      </w:r>
    </w:p>
    <w:p w:rsidR="009017A8" w:rsidRDefault="009017A8" w:rsidP="009017A8">
      <w:pPr>
        <w:jc w:val="both"/>
      </w:pPr>
    </w:p>
    <w:p w:rsidR="009017A8" w:rsidRDefault="009017A8" w:rsidP="009017A8">
      <w:pPr>
        <w:jc w:val="both"/>
      </w:pPr>
      <w:r>
        <w:t>Президент утвердил перечень поручений по итогам совещания по вопросу диверсификации производства высокотехнологичной продукции гражданского назначения организациями оборонно-промышленного комплекса.</w:t>
      </w:r>
    </w:p>
    <w:p w:rsidR="009017A8" w:rsidRDefault="009017A8" w:rsidP="009017A8">
      <w:pPr>
        <w:jc w:val="both"/>
      </w:pPr>
    </w:p>
    <w:p w:rsidR="009017A8" w:rsidRDefault="009017A8" w:rsidP="009017A8">
      <w:pPr>
        <w:jc w:val="both"/>
      </w:pPr>
      <w:r>
        <w:t>1. Правительству Российской Федерации:</w:t>
      </w:r>
    </w:p>
    <w:p w:rsidR="009017A8" w:rsidRDefault="009017A8" w:rsidP="009017A8">
      <w:pPr>
        <w:jc w:val="both"/>
      </w:pPr>
      <w:r>
        <w:t>а) обеспечить внесение в нормативные правовые акты изменений, предусматривающих:</w:t>
      </w:r>
    </w:p>
    <w:p w:rsidR="009017A8" w:rsidRDefault="009017A8" w:rsidP="009017A8">
      <w:pPr>
        <w:jc w:val="both"/>
      </w:pPr>
      <w:r>
        <w:t>наделение Правительственной комиссии по импортозамещению полномочиями по 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корпораций и компаний с государственным участием, связанной с осуществлением закупок продукции гражданского назначения организаций оборонно-промышленного комплекса при реализации крупных инвестиционных проектов и программ, в том числе направленных на модернизаци</w:t>
      </w:r>
      <w:bookmarkStart w:id="0" w:name="_GoBack"/>
      <w:bookmarkEnd w:id="0"/>
      <w:r>
        <w:t>ю электроэнергетики, создание нефтегазовой инфраструктуры, развитие цифровой экономики, внедрение наилучших доступных технологий, оснащение медицинских организаций и совершенствование технологий переработки твёрдых бытовых отходов;</w:t>
      </w:r>
    </w:p>
    <w:p w:rsidR="009017A8" w:rsidRDefault="009017A8" w:rsidP="009017A8">
      <w:pPr>
        <w:jc w:val="both"/>
      </w:pPr>
      <w:r>
        <w:t xml:space="preserve">предоставление Правительству Российской Федерации права утверждать номенклатуру и определять размер </w:t>
      </w:r>
      <w:proofErr w:type="gramStart"/>
      <w:r>
        <w:t>доли</w:t>
      </w:r>
      <w:proofErr w:type="gramEnd"/>
      <w:r>
        <w:t xml:space="preserve"> производимой организациями оборонно-промышленного комплекса продукции гражданского назначения, подлежащей закупке государственными и муниципальными заказчиками, государственными корпорациями и компаниями с государственным участием;</w:t>
      </w:r>
    </w:p>
    <w:p w:rsidR="009017A8" w:rsidRDefault="009017A8" w:rsidP="009017A8">
      <w:pPr>
        <w:jc w:val="both"/>
      </w:pPr>
      <w:r>
        <w:t>снижение для организаций оборонно-промышленного комплекса минимального объёма инвестиций в инвестиционный проект, реализуемый в соответствии с заключённым ими с Российской Федерацией, субъектом Российской Федерации и (или) муниципальным образованием специальным инвестиционным контрактом, в целях получения указанными организациями статуса единственного поставщика;</w:t>
      </w:r>
    </w:p>
    <w:p w:rsidR="009017A8" w:rsidRDefault="009017A8" w:rsidP="009017A8">
      <w:pPr>
        <w:jc w:val="both"/>
      </w:pPr>
      <w:r>
        <w:t>отмену для организаций оборонно-промышленного комплекса ограничений, касающихся количества продукции гражданского назначения, которая может поставляться единственным поставщиком при реализации специального инвестиционного контракта;</w:t>
      </w:r>
    </w:p>
    <w:p w:rsidR="009017A8" w:rsidRDefault="009017A8" w:rsidP="009017A8">
      <w:pPr>
        <w:jc w:val="both"/>
      </w:pPr>
      <w:r>
        <w:t>установление возможности заключения контрактов жизненного цикла при реализации специальных инвестиционных контрактов;</w:t>
      </w:r>
    </w:p>
    <w:p w:rsidR="009017A8" w:rsidRDefault="009017A8" w:rsidP="009017A8">
      <w:pPr>
        <w:jc w:val="both"/>
      </w:pPr>
      <w:r>
        <w:t>ведение организациями оборонно-промышленного комплекса раздельного учёта затрат на производство продукции гражданского назначения.</w:t>
      </w:r>
    </w:p>
    <w:p w:rsidR="009017A8" w:rsidRDefault="009017A8" w:rsidP="009017A8">
      <w:pPr>
        <w:jc w:val="both"/>
      </w:pPr>
      <w:r>
        <w:t>Срок – 15 июля 2018 г.</w:t>
      </w:r>
    </w:p>
    <w:p w:rsidR="009017A8" w:rsidRDefault="009017A8" w:rsidP="009017A8">
      <w:pPr>
        <w:jc w:val="both"/>
      </w:pPr>
      <w:r>
        <w:t>Ответственный: Медведев Д.А.;</w:t>
      </w:r>
    </w:p>
    <w:p w:rsidR="009017A8" w:rsidRDefault="009017A8" w:rsidP="009017A8">
      <w:pPr>
        <w:jc w:val="both"/>
      </w:pPr>
      <w:r>
        <w:t>б) рассмотреть вопросы и при необходимости принять соответствующие решения, касающиеся:</w:t>
      </w:r>
    </w:p>
    <w:p w:rsidR="009017A8" w:rsidRDefault="009017A8" w:rsidP="009017A8">
      <w:pPr>
        <w:jc w:val="both"/>
      </w:pPr>
      <w:r>
        <w:t>осуществления при производстве продукции гражданского назначения кооперации организаций оборонно-промышленного комплекса с третьими лицами путём использования закрытых способов определения поставщика (подрядчика, исполнителя);</w:t>
      </w:r>
    </w:p>
    <w:p w:rsidR="009017A8" w:rsidRDefault="009017A8" w:rsidP="009017A8">
      <w:pPr>
        <w:jc w:val="both"/>
      </w:pPr>
      <w:r>
        <w:t>упрощения для организаций оборонно-промышленного комплекса процедур проведения закупок в целях обеспечения производства продукции гражданского назначения;</w:t>
      </w:r>
    </w:p>
    <w:p w:rsidR="009017A8" w:rsidRDefault="009017A8" w:rsidP="009017A8">
      <w:pPr>
        <w:jc w:val="both"/>
      </w:pPr>
      <w:r>
        <w:t>увеличения объёма средств федерального бюджета, направляемых на софинансирование затрат организаций оборонно-­промышленного комплекса на проведение научно-исследовательских и опытно-конструкторских работ, связанных с производством продукции гражданского назначения;</w:t>
      </w:r>
    </w:p>
    <w:p w:rsidR="009017A8" w:rsidRDefault="009017A8" w:rsidP="009017A8">
      <w:pPr>
        <w:jc w:val="both"/>
      </w:pPr>
      <w:r>
        <w:t xml:space="preserve">увеличения объёма средств федерального бюджета, направляемых на субсидирование процентных ставок по кредитам, полученным организациями оборонно-промышленного </w:t>
      </w:r>
      <w:r>
        <w:lastRenderedPageBreak/>
        <w:t>комплекса на реализацию проектов по производству продукции гражданского назначения, и лизинговым платежам;</w:t>
      </w:r>
    </w:p>
    <w:p w:rsidR="009017A8" w:rsidRDefault="009017A8" w:rsidP="009017A8">
      <w:pPr>
        <w:jc w:val="both"/>
      </w:pPr>
      <w:r>
        <w:t>предоставления государственной поддержки в целях стимулирования спроса на речные и морские суда, производимые организациями оборонно-промышленного комплекса, с использованием механизмов лизинга;</w:t>
      </w:r>
    </w:p>
    <w:p w:rsidR="009017A8" w:rsidRDefault="009017A8" w:rsidP="009017A8">
      <w:pPr>
        <w:jc w:val="both"/>
      </w:pPr>
      <w:r>
        <w:t>применения в приоритетном порядке продукции гражданского назначения, произведённой организациями оборонно-промышленного комплекса, при строительстве, модернизации, реконструкции промышленных объектов и медицинских организаций, которые осуществляются с использованием средств федерального бюджета или иных форм государственной поддержки, а также определения порядка согласования и утверждения проектной документации;</w:t>
      </w:r>
    </w:p>
    <w:p w:rsidR="009017A8" w:rsidRDefault="009017A8" w:rsidP="009017A8">
      <w:pPr>
        <w:jc w:val="both"/>
      </w:pPr>
      <w:r>
        <w:t>механизма и форм получения работниками организаций оборонно-промышленного комплекса части прибыли, получаемой этими организациями от реализации продукции гражданского назначения;</w:t>
      </w:r>
    </w:p>
    <w:p w:rsidR="009017A8" w:rsidRDefault="009017A8" w:rsidP="009017A8">
      <w:pPr>
        <w:jc w:val="both"/>
      </w:pPr>
      <w:r>
        <w:t xml:space="preserve">корректировки системы ключевых показателей эффективности для организаций оборонно-промышленного комплекса, предусматривающей возможность удержания в полном объёме премий и иных поощрительных выплат руководству указанных организаций в случае </w:t>
      </w:r>
      <w:proofErr w:type="spellStart"/>
      <w:r>
        <w:t>недостижения</w:t>
      </w:r>
      <w:proofErr w:type="spellEnd"/>
      <w:r>
        <w:t xml:space="preserve"> установленных значений по производству продукции гражданского назначения;</w:t>
      </w:r>
    </w:p>
    <w:p w:rsidR="009017A8" w:rsidRDefault="009017A8" w:rsidP="009017A8">
      <w:pPr>
        <w:jc w:val="both"/>
      </w:pPr>
      <w:r>
        <w:t>сокращения сумм дивидендов по акциям, выплачиваемых акционерными обществами оборонно-промышленного комплекса, на величину, пропорциональную объёму средств, направляемых указанными акционерными обществами на реализацию проектов диверсификации;</w:t>
      </w:r>
    </w:p>
    <w:p w:rsidR="009017A8" w:rsidRDefault="009017A8" w:rsidP="009017A8">
      <w:pPr>
        <w:jc w:val="both"/>
      </w:pPr>
      <w:r>
        <w:t>в) утвердить план развития производства высокотехнологичной продукции гражданского назначения организациями оборонно-­промышленного комплекса на период 2018−2019 годов, предусмотрев в нём показатель доли высокотехнологичной продукции гражданского назначения в общем объёме продукции, выпускаемой указанными организациями.</w:t>
      </w:r>
    </w:p>
    <w:p w:rsidR="009017A8" w:rsidRDefault="009017A8" w:rsidP="009017A8">
      <w:pPr>
        <w:jc w:val="both"/>
      </w:pPr>
      <w:r>
        <w:t>Доклад – до 15 марта 2018 г.</w:t>
      </w:r>
    </w:p>
    <w:p w:rsidR="009017A8" w:rsidRDefault="009017A8" w:rsidP="009017A8">
      <w:pPr>
        <w:jc w:val="both"/>
      </w:pPr>
      <w:r>
        <w:t>Ответственный: Рогозин Д.О.</w:t>
      </w:r>
    </w:p>
    <w:p w:rsidR="009017A8" w:rsidRDefault="009017A8" w:rsidP="009017A8">
      <w:pPr>
        <w:jc w:val="both"/>
      </w:pPr>
      <w:r>
        <w:t>2. Минпромторгу России совместно с Минэкономразвития России и при участии заинтересованных организаций:</w:t>
      </w:r>
    </w:p>
    <w:p w:rsidR="009017A8" w:rsidRDefault="009017A8" w:rsidP="009017A8">
      <w:pPr>
        <w:jc w:val="both"/>
      </w:pPr>
      <w:r>
        <w:t>а) разработать и утвердить форму отчётности для организаций оборонно-промышленного комплекса о доле произведённой и реализованной продукции гражданского назначения в общем объёме выпускаемой ими продукции;</w:t>
      </w:r>
    </w:p>
    <w:p w:rsidR="009017A8" w:rsidRDefault="009017A8" w:rsidP="009017A8">
      <w:pPr>
        <w:jc w:val="both"/>
      </w:pPr>
      <w:r>
        <w:t>б) обеспечить мониторинг достижения установленных показателей увеличения доли высокотехнологичной продукции гражданского и двойного назначения в общем объёме продукции, выпускаемой организациями оборонно-промышленного комплекса.</w:t>
      </w:r>
    </w:p>
    <w:p w:rsidR="009017A8" w:rsidRDefault="009017A8" w:rsidP="009017A8">
      <w:pPr>
        <w:jc w:val="both"/>
      </w:pPr>
      <w:r>
        <w:t>Доклад – до 1 июля 2018 г., далее – один раз в полгода.</w:t>
      </w:r>
    </w:p>
    <w:p w:rsidR="009017A8" w:rsidRDefault="009017A8" w:rsidP="009017A8">
      <w:pPr>
        <w:jc w:val="both"/>
      </w:pPr>
      <w:r>
        <w:t xml:space="preserve">Ответственные: </w:t>
      </w:r>
      <w:proofErr w:type="spellStart"/>
      <w:r>
        <w:t>Мантуров</w:t>
      </w:r>
      <w:proofErr w:type="spellEnd"/>
      <w:r>
        <w:t xml:space="preserve"> Д.В., Орешкин М.С.</w:t>
      </w:r>
    </w:p>
    <w:p w:rsidR="009017A8" w:rsidRDefault="009017A8" w:rsidP="009017A8">
      <w:pPr>
        <w:jc w:val="both"/>
      </w:pPr>
      <w:r>
        <w:t>3. Минпромторгу России совместно с Государственной корпорацией «</w:t>
      </w:r>
      <w:proofErr w:type="spellStart"/>
      <w:r>
        <w:t>Ростех</w:t>
      </w:r>
      <w:proofErr w:type="spellEnd"/>
      <w:r>
        <w:t>» и при участии заинтересованных организаций обеспечить реализацию образовательных программ, направленных на повышение уровня компетенций организаций оборонно-­промышленного комплекса по продвижению и увеличению спроса на производимую ими высокотехнологичную продукцию гражданского назначения.</w:t>
      </w:r>
    </w:p>
    <w:p w:rsidR="009017A8" w:rsidRDefault="009017A8" w:rsidP="009017A8">
      <w:pPr>
        <w:jc w:val="both"/>
      </w:pPr>
      <w:r>
        <w:t>Доклад – до 1 июня 2018 г.</w:t>
      </w:r>
    </w:p>
    <w:p w:rsidR="009017A8" w:rsidRDefault="009017A8" w:rsidP="009017A8">
      <w:pPr>
        <w:jc w:val="both"/>
      </w:pPr>
      <w:r>
        <w:t xml:space="preserve">Ответственные: </w:t>
      </w:r>
      <w:proofErr w:type="spellStart"/>
      <w:r>
        <w:t>Мантуров</w:t>
      </w:r>
      <w:proofErr w:type="spellEnd"/>
      <w:r>
        <w:t xml:space="preserve"> Д.В., Чемезов С.В.</w:t>
      </w:r>
    </w:p>
    <w:p w:rsidR="009017A8" w:rsidRDefault="009017A8" w:rsidP="009017A8">
      <w:pPr>
        <w:jc w:val="both"/>
      </w:pPr>
      <w:r>
        <w:t>4. Минфину России совместно с Минпромторгом России обеспечить синхронизацию информации, содержащейся в государственной информационной системе промышленности, с информацией, содержащейся в единой информационной системе в сфере закупок, в части, касающейся каталогизации высокотехнологичной продукции гражданского назначения.</w:t>
      </w:r>
    </w:p>
    <w:p w:rsidR="009017A8" w:rsidRDefault="009017A8" w:rsidP="009017A8">
      <w:pPr>
        <w:jc w:val="both"/>
      </w:pPr>
      <w:r>
        <w:lastRenderedPageBreak/>
        <w:t>Доклад – до 1 июня 2018 г.</w:t>
      </w:r>
    </w:p>
    <w:p w:rsidR="009017A8" w:rsidRDefault="009017A8" w:rsidP="009017A8">
      <w:pPr>
        <w:jc w:val="both"/>
      </w:pPr>
      <w:r>
        <w:t xml:space="preserve">Ответственные: </w:t>
      </w:r>
      <w:proofErr w:type="spellStart"/>
      <w:r>
        <w:t>Силуанов</w:t>
      </w:r>
      <w:proofErr w:type="spellEnd"/>
      <w:r>
        <w:t xml:space="preserve"> А.Г., </w:t>
      </w:r>
      <w:proofErr w:type="spellStart"/>
      <w:r>
        <w:t>Мантуров</w:t>
      </w:r>
      <w:proofErr w:type="spellEnd"/>
      <w:r>
        <w:t xml:space="preserve"> Д.В.</w:t>
      </w:r>
    </w:p>
    <w:p w:rsidR="009017A8" w:rsidRDefault="009017A8" w:rsidP="009017A8">
      <w:pPr>
        <w:jc w:val="both"/>
      </w:pPr>
      <w:r>
        <w:t>5. Минтрансу России рассмотреть вопросы, касающиеся:</w:t>
      </w:r>
    </w:p>
    <w:p w:rsidR="009017A8" w:rsidRDefault="009017A8" w:rsidP="009017A8">
      <w:pPr>
        <w:jc w:val="both"/>
      </w:pPr>
      <w:r>
        <w:t>а) сокращения максимального срока эксплуатации вертолётной техники для пассажирских перевозок;</w:t>
      </w:r>
    </w:p>
    <w:p w:rsidR="009017A8" w:rsidRDefault="009017A8" w:rsidP="009017A8">
      <w:pPr>
        <w:jc w:val="both"/>
      </w:pPr>
      <w:r>
        <w:t>б) оказания содействия при проведении сертификации гражданской вертолётной техники в иностранных государствах.</w:t>
      </w:r>
    </w:p>
    <w:p w:rsidR="009017A8" w:rsidRDefault="009017A8" w:rsidP="009017A8">
      <w:pPr>
        <w:jc w:val="both"/>
      </w:pPr>
      <w:r>
        <w:t>Доклад – до 1 мая 2018 г.</w:t>
      </w:r>
    </w:p>
    <w:p w:rsidR="009017A8" w:rsidRDefault="009017A8" w:rsidP="009017A8">
      <w:pPr>
        <w:jc w:val="both"/>
      </w:pPr>
      <w:r>
        <w:t>Ответственный: Соколов М.Ю.</w:t>
      </w:r>
    </w:p>
    <w:sectPr w:rsidR="0090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A8"/>
    <w:rsid w:val="008600E5"/>
    <w:rsid w:val="009017A8"/>
    <w:rsid w:val="00C85C94"/>
    <w:rsid w:val="00F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85FA"/>
  <w15:chartTrackingRefBased/>
  <w15:docId w15:val="{FEA6DA8F-A28F-4065-981F-51B20854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Sinyuk Roman Vladimirovich</dc:creator>
  <cp:keywords/>
  <dc:description/>
  <cp:lastModifiedBy>Sinyuk Roman Vladimirovich</cp:lastModifiedBy>
  <cp:revision>1</cp:revision>
  <dcterms:created xsi:type="dcterms:W3CDTF">2020-10-13T14:48:00Z</dcterms:created>
  <dcterms:modified xsi:type="dcterms:W3CDTF">2020-10-13T14:49:00Z</dcterms:modified>
</cp:coreProperties>
</file>