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31" w:rsidRPr="00A86446" w:rsidRDefault="00A86446" w:rsidP="00A86446">
      <w:pPr>
        <w:jc w:val="both"/>
        <w:rPr>
          <w:b/>
        </w:rPr>
      </w:pPr>
      <w:r w:rsidRPr="00A86446">
        <w:rPr>
          <w:b/>
        </w:rPr>
        <w:t>Перечень поручений по итогам совещания по вопросу диверсификации оборонно-промышленного комплекса (утв. Президентом РФ 18.12.2018 № Пр-2423).</w:t>
      </w:r>
    </w:p>
    <w:p w:rsidR="00A86446" w:rsidRDefault="00A86446" w:rsidP="00A86446">
      <w:pPr>
        <w:jc w:val="both"/>
      </w:pPr>
    </w:p>
    <w:p w:rsidR="00A86446" w:rsidRDefault="00A86446" w:rsidP="00A86446">
      <w:pPr>
        <w:jc w:val="both"/>
      </w:pPr>
      <w:r>
        <w:t>Президент утвердил перечень поручений по итогам совещания по вопросу диверсификации оборонно-промышленного комплекса, состоявшегося 21 ноября 2018 года.</w:t>
      </w:r>
    </w:p>
    <w:p w:rsidR="00A86446" w:rsidRDefault="00A86446" w:rsidP="00A86446">
      <w:pPr>
        <w:jc w:val="both"/>
      </w:pPr>
    </w:p>
    <w:p w:rsidR="00A86446" w:rsidRDefault="00A86446" w:rsidP="00A86446">
      <w:pPr>
        <w:jc w:val="both"/>
      </w:pPr>
      <w:r>
        <w:t>1. Правительству Российской Федерации:</w:t>
      </w:r>
    </w:p>
    <w:p w:rsidR="00A86446" w:rsidRDefault="00A86446" w:rsidP="00A86446">
      <w:pPr>
        <w:jc w:val="both"/>
      </w:pPr>
      <w:r>
        <w:t>а) с учётом ранее данных поручений обеспечить внесение в законодательство Российской Федерации изменений, предусматривающих совершенствование регулирования заключения и реализации специальных инвестиционных контрактов в целях производства продукции гражданского назначения организациями оборонно-промышленного комплекса.</w:t>
      </w:r>
    </w:p>
    <w:p w:rsidR="00A86446" w:rsidRDefault="00A86446" w:rsidP="00A86446">
      <w:pPr>
        <w:jc w:val="both"/>
      </w:pPr>
      <w:r>
        <w:t>Срок – 1 марта 2019 г.;</w:t>
      </w:r>
    </w:p>
    <w:p w:rsidR="00A86446" w:rsidRDefault="00A86446" w:rsidP="00A86446">
      <w:pPr>
        <w:jc w:val="both"/>
      </w:pPr>
      <w:r>
        <w:t xml:space="preserve">б) с учётом результатов выполнения подпункта «б» пункта 2 настоящего перечня поручений разработать необходимые </w:t>
      </w:r>
      <w:bookmarkStart w:id="0" w:name="_GoBack"/>
      <w:bookmarkEnd w:id="0"/>
      <w:r>
        <w:t>меры государственной поддержки проектов (программ) производства продукции гражданского назначения, предусмотрев их финансирование в проекте федерального бюджета, в том числе на 2020 год и на плановый период 2021 и 2022 годов.</w:t>
      </w:r>
    </w:p>
    <w:p w:rsidR="00A86446" w:rsidRDefault="00A86446" w:rsidP="00A86446">
      <w:pPr>
        <w:jc w:val="both"/>
      </w:pPr>
      <w:r>
        <w:t>Срок – 1 октября 2019 г.;</w:t>
      </w:r>
    </w:p>
    <w:p w:rsidR="00A86446" w:rsidRDefault="00A86446" w:rsidP="00A86446">
      <w:pPr>
        <w:jc w:val="both"/>
      </w:pPr>
      <w:r>
        <w:t>в) обеспечить формирование позиции Российской Федерации по вопросу целесообразности продления после 31 декабря 2019 г. действующего режима временного ввоза иностранных среднемагистральных турбореактивных пассажирских самолётов и её внесение в установленном порядке в Евразийскую экономическую комиссию.</w:t>
      </w:r>
    </w:p>
    <w:p w:rsidR="00A86446" w:rsidRDefault="00A86446" w:rsidP="00A86446">
      <w:pPr>
        <w:jc w:val="both"/>
      </w:pPr>
      <w:r>
        <w:t>Срок – 15 апреля 2019 г.;</w:t>
      </w:r>
    </w:p>
    <w:p w:rsidR="00A86446" w:rsidRDefault="00A86446" w:rsidP="00A86446">
      <w:pPr>
        <w:jc w:val="both"/>
      </w:pPr>
      <w:r>
        <w:t>г) ускорить принятие решения по вопросу использования операторами связи в соответствии с Федеральным законом от 6 июля 2016 г. № 374‑ФЭ технических средств накопления информации, разработанных организациями оборонно-промышленного комплекса.</w:t>
      </w:r>
    </w:p>
    <w:p w:rsidR="00A86446" w:rsidRDefault="00A86446" w:rsidP="00A86446">
      <w:pPr>
        <w:jc w:val="both"/>
      </w:pPr>
      <w:r>
        <w:t>Срок – 31 декабря 2018 г.</w:t>
      </w:r>
    </w:p>
    <w:p w:rsidR="00A86446" w:rsidRDefault="00A86446" w:rsidP="00A86446">
      <w:pPr>
        <w:jc w:val="both"/>
      </w:pPr>
      <w:r>
        <w:t>Ответственный: Медведев Д.А.;</w:t>
      </w:r>
    </w:p>
    <w:p w:rsidR="00A86446" w:rsidRDefault="00A86446" w:rsidP="00A86446">
      <w:pPr>
        <w:jc w:val="both"/>
      </w:pPr>
      <w:r>
        <w:t>2. Правительству Российской Федерации на основании предложений государственных корпораций «Росатом», «</w:t>
      </w:r>
      <w:proofErr w:type="spellStart"/>
      <w:r>
        <w:t>Роскосмос</w:t>
      </w:r>
      <w:proofErr w:type="spellEnd"/>
      <w:r>
        <w:t>», «</w:t>
      </w:r>
      <w:proofErr w:type="spellStart"/>
      <w:r>
        <w:t>Ростех</w:t>
      </w:r>
      <w:proofErr w:type="spellEnd"/>
      <w:r>
        <w:t>» и других заинтересованных организаций:</w:t>
      </w:r>
    </w:p>
    <w:p w:rsidR="00A86446" w:rsidRDefault="00A86446" w:rsidP="00A86446">
      <w:pPr>
        <w:jc w:val="both"/>
      </w:pPr>
      <w:r>
        <w:t>а) с учётом ранее данных поручений утвердить прогнозные объёмы производства продукции гражданского назначения организациями оборонно-промышленного комплекса в 2019–2021 годах в отраслевом разрезе с разбивкой этих объёмов по крупнейшим организациям оборонно-промышленного комплекса и интегрированным структурам с учётом перечней техники, технологий и оборудования, необходимых для реализации национальных проектов.</w:t>
      </w:r>
    </w:p>
    <w:p w:rsidR="00A86446" w:rsidRDefault="00A86446" w:rsidP="00A86446">
      <w:pPr>
        <w:jc w:val="both"/>
      </w:pPr>
      <w:r>
        <w:t>Срок – 31 марта 2019 г.;</w:t>
      </w:r>
    </w:p>
    <w:p w:rsidR="00A86446" w:rsidRDefault="00A86446" w:rsidP="00A86446">
      <w:pPr>
        <w:jc w:val="both"/>
      </w:pPr>
      <w:r>
        <w:t>б) с учётом результатов выполнения подпункта «а» пункта 2 настоящего перечня поручений обеспечить формирование организациями оборонно-промышленного комплекса продуктовых рядов (номенклатуры производства) продукции гражданского назначения, а также проектов (программ) их производства в 2019 –2021 годах с разбивкой по рынкам сбыта и потребителям.</w:t>
      </w:r>
    </w:p>
    <w:p w:rsidR="00A86446" w:rsidRDefault="00A86446" w:rsidP="00A86446">
      <w:pPr>
        <w:jc w:val="both"/>
      </w:pPr>
      <w:r>
        <w:t>Срок – 1 июня 2019 г.</w:t>
      </w:r>
    </w:p>
    <w:p w:rsidR="00A86446" w:rsidRDefault="00A86446" w:rsidP="00A86446">
      <w:pPr>
        <w:jc w:val="both"/>
      </w:pPr>
      <w:r>
        <w:t>Ответственные: Борисов Ю.И., Лихачёв А.Е., Рогозин Д.О., Чемезов С.В.;</w:t>
      </w:r>
    </w:p>
    <w:p w:rsidR="00A86446" w:rsidRDefault="00A86446" w:rsidP="00A86446">
      <w:pPr>
        <w:jc w:val="both"/>
      </w:pPr>
      <w:r>
        <w:t>в) обеспечить ежегодное рассмотрение результатов реализации организациями оборонно-промышленного комплекса проектов (программ) производства продукции гражданского назначения на заседаниях Военно-промышленной комиссии Российской Федерации.</w:t>
      </w:r>
    </w:p>
    <w:p w:rsidR="00A86446" w:rsidRDefault="00A86446" w:rsidP="00A86446">
      <w:pPr>
        <w:jc w:val="both"/>
      </w:pPr>
      <w:r>
        <w:t>Ответственный: Борисов Ю.И.;</w:t>
      </w:r>
    </w:p>
    <w:p w:rsidR="00A86446" w:rsidRDefault="00A86446" w:rsidP="00A86446">
      <w:pPr>
        <w:jc w:val="both"/>
      </w:pPr>
      <w:r>
        <w:t>3. Минпромторгу России с учётом результатов выполнения подпункта «б» пункта 2 настоящего перечня поручений обеспечить формирование и ведение реестра проектов (программ) производства продукции гражданского назначения организациями оборонно­-промышленного комплекса.</w:t>
      </w:r>
    </w:p>
    <w:p w:rsidR="00A86446" w:rsidRDefault="00A86446" w:rsidP="00A86446">
      <w:pPr>
        <w:jc w:val="both"/>
      </w:pPr>
      <w:r>
        <w:lastRenderedPageBreak/>
        <w:t>Срок – 1 июля 2019 г.</w:t>
      </w:r>
    </w:p>
    <w:p w:rsidR="00A86446" w:rsidRDefault="00A86446" w:rsidP="00A86446">
      <w:pPr>
        <w:jc w:val="both"/>
      </w:pPr>
      <w:r>
        <w:t xml:space="preserve">Ответственный: </w:t>
      </w:r>
      <w:proofErr w:type="spellStart"/>
      <w:r>
        <w:t>Мантуров</w:t>
      </w:r>
      <w:proofErr w:type="spellEnd"/>
      <w:r>
        <w:t> Д.В.;</w:t>
      </w:r>
    </w:p>
    <w:p w:rsidR="00A86446" w:rsidRDefault="00A86446" w:rsidP="00A86446">
      <w:pPr>
        <w:jc w:val="both"/>
      </w:pPr>
      <w:r>
        <w:t>4. Правительству Российской Федерации рассмотреть вопросы и принять необходимые решения, касающиеся:</w:t>
      </w:r>
    </w:p>
    <w:p w:rsidR="00A86446" w:rsidRDefault="00A86446" w:rsidP="00A86446">
      <w:pPr>
        <w:jc w:val="both"/>
      </w:pPr>
      <w:r>
        <w:t>а) обеспечения конфиденциальности при проведении закупок организациями оборонно-промышленного комплекса материалов и комплектующих, необходимых при разработке и производстве продукции гражданского назначения;</w:t>
      </w:r>
    </w:p>
    <w:p w:rsidR="00A86446" w:rsidRDefault="00A86446" w:rsidP="00A86446">
      <w:pPr>
        <w:jc w:val="both"/>
      </w:pPr>
      <w:r>
        <w:t>б) обеспечения нормативного правового регулирования в части использования данных дистанционного зондирования Земли в качестве доказательной базы при осуществлении контрольно-надзорной деятельности уполномоченными органами власти.</w:t>
      </w:r>
    </w:p>
    <w:p w:rsidR="00A86446" w:rsidRDefault="00A86446" w:rsidP="00A86446">
      <w:pPr>
        <w:jc w:val="both"/>
      </w:pPr>
      <w:r>
        <w:t>Срок – 1 апреля 2019 г.;</w:t>
      </w:r>
    </w:p>
    <w:p w:rsidR="00A86446" w:rsidRDefault="00A86446" w:rsidP="00A86446">
      <w:pPr>
        <w:jc w:val="both"/>
      </w:pPr>
      <w:r>
        <w:t>в) дополнительных мер государственной поддержки выпуска организациями авиационной и судостроительной отраслей оборонно-промышленного комплекса продукции гражданского назначения, в том числе предусматривающих возможность:</w:t>
      </w:r>
    </w:p>
    <w:p w:rsidR="00A86446" w:rsidRDefault="00A86446" w:rsidP="00A86446">
      <w:pPr>
        <w:jc w:val="both"/>
      </w:pPr>
      <w:r>
        <w:t>выделения в 2019–2021 годах бюджетных ассигнований на </w:t>
      </w:r>
      <w:proofErr w:type="spellStart"/>
      <w:r>
        <w:t>докапитализацию</w:t>
      </w:r>
      <w:proofErr w:type="spellEnd"/>
      <w:r>
        <w:t xml:space="preserve"> российских лизинговых компаний, предоставляющих отечественные воздушные, морские и речные суда на условиях лизинга;</w:t>
      </w:r>
    </w:p>
    <w:p w:rsidR="00A86446" w:rsidRDefault="00A86446" w:rsidP="00A86446">
      <w:pPr>
        <w:jc w:val="both"/>
      </w:pPr>
      <w:r>
        <w:t>предоставления субсидий российским производителям воздушных, морских и речных судов на начальных этапах освоения их серийного производства и стартовых продаж;</w:t>
      </w:r>
    </w:p>
    <w:p w:rsidR="00A86446" w:rsidRDefault="00A86446" w:rsidP="00A86446">
      <w:pPr>
        <w:jc w:val="both"/>
      </w:pPr>
      <w:r>
        <w:t>предоставления субсидий на выкуп бывших в эксплуатации самолётов и вертолётов с зачётом их стоимости при приобретении новых воздушных судов отечественного производства по системе «трейд-ин»;</w:t>
      </w:r>
    </w:p>
    <w:p w:rsidR="00A86446" w:rsidRDefault="00A86446" w:rsidP="00A86446">
      <w:pPr>
        <w:jc w:val="both"/>
      </w:pPr>
      <w:r>
        <w:t>реструктуризации задолженности по кредитам, полученным производителями российских воздушных, морских и речных судов в российских кредитных организациях на цели создания и производства указанных судов, по результатам проработки этих вопросов с участием Банка России, государственной корпорации развития «ВЭБ.РФ» (далее – ВЭБ.РФ) и ПАО «Промсвязьбанк»;</w:t>
      </w:r>
    </w:p>
    <w:p w:rsidR="00A86446" w:rsidRDefault="00A86446" w:rsidP="00A86446">
      <w:pPr>
        <w:jc w:val="both"/>
      </w:pPr>
      <w:r>
        <w:t>г) расширения сферы деятельности и </w:t>
      </w:r>
      <w:proofErr w:type="spellStart"/>
      <w:r>
        <w:t>докапитализации</w:t>
      </w:r>
      <w:proofErr w:type="spellEnd"/>
      <w:r>
        <w:t xml:space="preserve"> Фонда развития промышленности в целях финансирования инвестиционных проектов по диверсификации производства организаций оборонно-промышленного комплекса, в том числе в интересах реализации национальных проектов;</w:t>
      </w:r>
    </w:p>
    <w:p w:rsidR="00A86446" w:rsidRDefault="00A86446" w:rsidP="00A86446">
      <w:pPr>
        <w:jc w:val="both"/>
      </w:pPr>
      <w:r>
        <w:t>д) увеличения объёма средств федерального бюджета, направляемых на субсидирование процентных ставок по кредитам, предоставляемым российскими кредитными организациями и ВЭБ.РФ организациям оборонно-промышленного комплекса на реализацию проектов по производству продукции гражданского назначения;</w:t>
      </w:r>
    </w:p>
    <w:p w:rsidR="00A86446" w:rsidRDefault="00A86446" w:rsidP="00A86446">
      <w:pPr>
        <w:jc w:val="both"/>
      </w:pPr>
      <w:r>
        <w:t>е) установления возможности субсидирования процентных ставок по кредитам, предоставляемым российскими кредитными организациями и ВЭБ.РФ покупателям на приобретение продукции гражданского назначения организаций оборонно-промышленного комплекса;</w:t>
      </w:r>
    </w:p>
    <w:p w:rsidR="00A86446" w:rsidRDefault="00A86446" w:rsidP="00A86446">
      <w:pPr>
        <w:jc w:val="both"/>
      </w:pPr>
      <w:r>
        <w:t>ж) предоставления указанных в подпункте «д» пункта 4 настоящего перечня поручений субсидий на весь срок реализации инвестиционного проекта.</w:t>
      </w:r>
    </w:p>
    <w:p w:rsidR="00A86446" w:rsidRDefault="00A86446" w:rsidP="00A86446">
      <w:pPr>
        <w:jc w:val="both"/>
      </w:pPr>
      <w:r>
        <w:t>Срок – 1 июня 2019 г.</w:t>
      </w:r>
    </w:p>
    <w:p w:rsidR="00A86446" w:rsidRDefault="00A86446" w:rsidP="00A86446">
      <w:pPr>
        <w:jc w:val="both"/>
      </w:pPr>
      <w:r>
        <w:t>Ответственный: Медведев Д.А.</w:t>
      </w:r>
    </w:p>
    <w:sectPr w:rsidR="00A8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46"/>
    <w:rsid w:val="008600E5"/>
    <w:rsid w:val="00A86446"/>
    <w:rsid w:val="00C85C94"/>
    <w:rsid w:val="00F3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421C"/>
  <w15:chartTrackingRefBased/>
  <w15:docId w15:val="{C3F4EDBC-8908-41DB-B980-C38206FA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Sinyuk Roman Vladimirovich</dc:creator>
  <cp:keywords/>
  <dc:description/>
  <cp:lastModifiedBy>Sinyuk Roman Vladimirovich</cp:lastModifiedBy>
  <cp:revision>1</cp:revision>
  <dcterms:created xsi:type="dcterms:W3CDTF">2020-10-13T14:50:00Z</dcterms:created>
  <dcterms:modified xsi:type="dcterms:W3CDTF">2020-10-13T14:51:00Z</dcterms:modified>
</cp:coreProperties>
</file>