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both"/>
      </w:pPr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ПРАВИТЕЛЬСТВО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ПОСТАНОВЛЕНИЕ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 27 декабря 2019 г. N 1878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 УТВЕРЖДЕНИИ ПРАВИЛ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ПРЕДОСТАВЛЕНИЯ В 2020 - 2022 ГОДАХ СУБСИДИЙ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ИЗ ФЕДЕРАЛЬНОГО БЮДЖЕТА ОРГАНИЗАЦИЯМ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КОМПЛЕКСА, ПРОИЗВОДЯЩИМ ПРОДУКЦИЮ СТАНКОСТРОЕНИЯ,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ДЛЯ ВОЗМЕЩЕНИЯ ЧАСТИ ЗАТРАТ, ПОНЕСЕННЫХ В ПЕРИОД С 2017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 2022 ГОДЫ НА УПЛАТУ ПРОЦЕНТОВ ПО КРЕДИТАМ, ПОЛУЧЕННЫМ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В РОССИЙСКИХ КРЕДИТНЫХ ОРГАНИЗАЦИЯХ И ГОСУДАРСТВЕННОЙ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КОРПОРАЦИИ РАЗВИТИЯ "ВЭБ.РФ", НА ПОПОЛНЕНИЕ ОБОРОТНЫХ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СРЕДСТВ И (ИЛИ) НА ФИНАНСИРОВАНИЕ ТЕКУЩЕЙ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Правительство Российской Федерации постановляет: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1. Утвердить прилагаемые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</w:t>
      </w:r>
      <w:r>
        <w:rPr>
          <w:rFonts w:ascii="Arial" w:hAnsi="Arial" w:cs="Arial"/>
          <w:sz w:val="16"/>
          <w:sz-cs w:val="16"/>
        </w:rPr>
        <w:t xml:space="preserve"> предоставления в 2020 - 2022 годах субсидий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период с 2017 по 2022 годы на уплату процентов по кредитам, полученным в российских кредитных организациях и государственной корпорации развития "ВЭБ.РФ", на пополнение оборотных средств и (или) на финансирование текущей производственной деятельности.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Настоящее постановление вступает в силу с 1 января 2020 г.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Председатель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Д.МЕДВЕДЕВ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Утверждены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постановлением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от 27 декабря 2019 г. N 1878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ПРАВИЛА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ПРЕДОСТАВЛЕНИЯ В 2020 - 2022 ГОДАХ СУБСИДИЙ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ИЗ ФЕДЕРАЛЬНОГО БЮДЖЕТА ОРГАНИЗАЦИЯМ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КОМПЛЕКСА, ПРОИЗВОДЯЩИМ ПРОДУКЦИЮ СТАНКОСТРОЕНИЯ,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ДЛЯ ВОЗМЕЩЕНИЯ ЧАСТИ ЗАТРАТ, ПОНЕСЕННЫХ В ПЕРИОД С 2017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 2022 ГОДЫ НА УПЛАТУ ПРОЦЕНТОВ ПО КРЕДИТАМ, ПОЛУЧЕННЫМ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В РОССИЙСКИХ КРЕДИТНЫХ ОРГАНИЗАЦИЯХ И ГОСУДАРСТВЕННОЙ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КОРПОРАЦИИ РАЗВИТИЯ "ВЭБ.РФ", НА ПОПОЛНЕНИЕ ОБОРОТНЫХ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СРЕДСТВ И (ИЛИ) НА ФИНАНСИРОВАНИЕ ТЕКУЩЕЙ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1. Настоящие Правила устанавливают цели, условия и порядок предоставления в 2020 - 2022 годах субсидий из федерального бюджета организациям оборонно-промышленного комплекса, производящим продукцию станкостроения (далее - организации), для возмещения части затрат, понесенных в период с 2017 по 2022 годы на уплату процентов по кредитам, полученным в российских кредитных организациях и государственной корпорации развития "ВЭБ.РФ" (далее соответственно - кредитные организации, ВЭБ.РФ), на пополнение оборотных средств и (или) на финансирование текущей производственной деятельности (далее - субсидии).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Субсидия предоставляется организации, созданной в соответствии с законодательством Российской Федерации, при одновременном выполнении следующих условий: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организация включена в сводный реестр организаций оборонно-промышленного комплекса или является дочерней организацией организации, включенной в сводный реестр организаций оборонно-промышленного комплекса;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организация осуществляет деятельность по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коду 28.4</w:t>
      </w:r>
      <w:r>
        <w:rPr>
          <w:rFonts w:ascii="Arial" w:hAnsi="Arial" w:cs="Arial"/>
          <w:sz w:val="16"/>
          <w:sz-cs w:val="16"/>
        </w:rPr>
        <w:t xml:space="preserve"> Общероссийского классификатора видов экономической деятельности ОК 029-2014 (КДЕС Ред. 2).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Субсидии предоставляются в рамках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программы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комплекса", утвержденной постановлением Правительства Российской Федерации от 16 мая 2016 г. N 425-8 "Об утверждении государственной программы Российской Федерации "Развитие оборонно-промышленного комплекса", в целях стимулирования развития оборонно-промышленного комплекса на основе обеспечения развития и использования современных средств производства.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Субсидии предоставляются в целях возмещения части фактически произведенных и документально подтвержденных затрат, понесенных организациями в период с 2017 по 2022 годы на уплату процентов по кредитам (либо по траншам в рамках кредитных линий), полученным в валюте Российской Федерации, на основании кредитных договоров (далее - кредиты), которые соответствуют следующим требованиям: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кредит предоставлен в валюте Российской Федерации на срок не более 3 лет;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целью предоставления кредита является пополнение оборотных средств и (или) финансирование текущей производственной деятельности организации.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Субсидии предоставляются на основании соглашения о предоставлении субсидии, заключенного между организацией и Министерством промышленности и торговли Российской Федерации (далее - соглашение) в соответствии с типовой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формой</w:t>
      </w:r>
      <w:r>
        <w:rPr>
          <w:rFonts w:ascii="Arial" w:hAnsi="Arial" w:cs="Arial"/>
          <w:sz w:val="16"/>
          <w:sz-cs w:val="16"/>
        </w:rPr>
        <w:t xml:space="preserve">, утвержденной Министерством финансов Российской Федерации, которое предусматривает в том числе согласие организации на осуществление Министерством промышленности и торговли Российской Федерации, а также органами государственного финансового контроля проверок соблюдения организацией целей, условий и порядка предоставления субсидии.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5. Субсидии предоставляются организациям, которые на дату не ранее чем за 15 рабочих дней до дня представления заявления о заключении соглашения соответствуют следующим требованиям: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перечень</w:t>
      </w:r>
      <w:r>
        <w:rPr>
          <w:rFonts w:ascii="Arial" w:hAnsi="Arial" w:cs="Arial"/>
          <w:sz w:val="16"/>
          <w:sz-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отсутствует просроченная задолженность по денежным обязательствам перед Российской Федерацией, определенным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статье 93.4</w:t>
      </w:r>
      <w:r>
        <w:rPr>
          <w:rFonts w:ascii="Arial" w:hAnsi="Arial" w:cs="Arial"/>
          <w:sz w:val="16"/>
          <w:sz-cs w:val="16"/>
        </w:rPr>
        <w:t xml:space="preserve"> Бюджетного кодекса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организация не получает средств из федерального бюджета на основании иных нормативных правовых актов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а также не получает кредиты на льготных условиях, предусматривающие государственную поддержку в соответствии с иными нормативными правовыми актами;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доля продукции станкостроения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код 28.4</w:t>
      </w:r>
      <w:r>
        <w:rPr>
          <w:rFonts w:ascii="Arial" w:hAnsi="Arial" w:cs="Arial"/>
          <w:sz w:val="16"/>
          <w:sz-cs w:val="16"/>
        </w:rPr>
        <w:t xml:space="preserve"> по ОК 034-2014 (КПЕС 2008) в объеме выручки за последний финансовый год составляет не менее 80 процентов.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6. Для заключения соглашения организация представляет в Министерство промышленности и торговли Российской Федерации заявление о заключении соглашения (в произвольной форме), подписанное руководителем организации, с приложением к нему следующих документов: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справка о деятельности организации и промышленной продукции станкостроения, выпускаемой организацией в течение 2 лет (в течение года, предшествующего году заключения соглашения, и в течение года, в котором заключено соглашение), подписанная руководителем и заверенная печатью (при наличии) организации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1</w:t>
      </w:r>
      <w:r>
        <w:rPr>
          <w:rFonts w:ascii="Arial" w:hAnsi="Arial" w:cs="Arial"/>
          <w:sz w:val="16"/>
          <w:sz-cs w:val="16"/>
        </w:rPr>
        <w:t xml:space="preserve">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копии форм федерального статистического наблюдения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П-1</w:t>
      </w:r>
      <w:r>
        <w:rPr>
          <w:rFonts w:ascii="Arial" w:hAnsi="Arial" w:cs="Arial"/>
          <w:sz w:val="16"/>
          <w:sz-cs w:val="16"/>
        </w:rPr>
        <w:t xml:space="preserve"> "Сведения о производстве и отгрузке товаров и услуг" (далее - форма П-1) за год, предшествующий году заключения соглашения, подписанные руководителем и главным бухгалтером (при наличии) и заверенные печатью (при наличии)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копия налоговой декларации по налогу на прибыль организаций за год, предшествующий году заключения соглашения, представленной в налоговый орган, заверенная руководителем и главным бухгалтером (при наличии)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копия кредитного договора с графиком погашения кредита и уплаты процентов по нему, заверенная соответствующей кредитной организацией или ВЭБ.РФ;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выписка по ссудному счету, подтверждающая размер ссудной задолженности по кредиту, заверенная соответствующей кредитной организацией или ВЭБ.РФ;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справка налогового органа по состоянию на дату не ранее чем за 15 рабочих дней до дня представления заявления о заключении соглашения,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справка об отсутствии у организации по состоянию на дату не ранее чем за 15 рабочих дней до дня представления заявления о заключении соглашения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бюджетом, подписанная руководителем и главным бухгалтером (при наличии) и заверенная печатью (при наличии)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и) справка о том, что по состоянию на дату не ранее чем за 15 рабочих дней до дня представления заявления о заключении соглашения организация не находится в стадии реорганизации, ликвидации или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Федерации, подписанная руководителем и главным бухгалтером (при наличии) и заверенная печатью (при наличии)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к) справка, подписанная руководителем и главным бухгалтером (при наличии) и заверенная печатью (при наличии) организации, подтверждающая, что по состоянию на дату не ранее чем за 15 рабочих дней до дня представления заявления о заключении соглашения организация не получает средств из федерального бюджета на основании иных нормативных правовых актов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а также не получает кредиты на льготных условиях, предусматривающие государственную поддержку в соответствии с иными нормативными правовыми актами;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л) справка, подтверждающая,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перечень</w:t>
      </w:r>
      <w:r>
        <w:rPr>
          <w:rFonts w:ascii="Arial" w:hAnsi="Arial" w:cs="Arial"/>
          <w:sz w:val="16"/>
          <w:sz-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подписанная руководителем и главным бухгалтером (при наличии) и заверенная печатью (при наличии)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м) справка, подписанная руководителем и главным бухгалтером (при наличии) и заверенная печатью (при наличии) организации, о том, что организация является дочерней, и документы, подтверждающие отнесение организации к дочерней (представляются в случае, если организация является дочерней).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7. Министерство промышленности и торговли Российской Федерации регистрирует в порядке поступления документы,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6</w:t>
      </w:r>
      <w:r>
        <w:rPr>
          <w:rFonts w:ascii="Arial" w:hAnsi="Arial" w:cs="Arial"/>
          <w:sz w:val="16"/>
          <w:sz-cs w:val="16"/>
        </w:rPr>
        <w:t xml:space="preserve"> настоящих Правил, в специальном журнале, который должен быть прошнурован, пронумерован постранично и скреплен печатью Министерства промышленности и торговли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8. Министерство промышленности и торговли Российской Федерации в течение 30 календарных дней рассматривает в порядке поступления документы, представленные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6</w:t>
      </w:r>
      <w:r>
        <w:rPr>
          <w:rFonts w:ascii="Arial" w:hAnsi="Arial" w:cs="Arial"/>
          <w:sz w:val="16"/>
          <w:sz-cs w:val="16"/>
        </w:rPr>
        <w:t xml:space="preserve"> настоящих Правил, проверяет полноту и достоверность сведений, содержащихся в них, и заключает с организацией соглашение либо отказывает (в письменной форме) организации в заключении соглашения в следующих случаях: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несоответствие представленных документов требованиям, предусмотренным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6</w:t>
      </w:r>
      <w:r>
        <w:rPr>
          <w:rFonts w:ascii="Arial" w:hAnsi="Arial" w:cs="Arial"/>
          <w:sz w:val="16"/>
          <w:sz-cs w:val="16"/>
        </w:rPr>
        <w:t xml:space="preserve"> настоящих Правил, непредставление (представление не в полном объеме)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6</w:t>
      </w:r>
      <w:r>
        <w:rPr>
          <w:rFonts w:ascii="Arial" w:hAnsi="Arial" w:cs="Arial"/>
          <w:sz w:val="16"/>
          <w:sz-cs w:val="16"/>
        </w:rPr>
        <w:t xml:space="preserve"> настоящих Правил, наличие в них недостоверной информации;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если доходы организации от реализации произведенных ею товаров по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коду 28.4</w:t>
      </w:r>
      <w:r>
        <w:rPr>
          <w:rFonts w:ascii="Arial" w:hAnsi="Arial" w:cs="Arial"/>
          <w:sz w:val="16"/>
          <w:sz-cs w:val="16"/>
        </w:rPr>
        <w:t xml:space="preserve"> по ОК 034-2014 (КПЕС 2008) за год, предшествующий году заключения соглашения, указанные в строке 011 "выручка от реализации товаров (работ, услуг) собственного производства" подраздела "Доходы от реализации и внереализационные доходы" налоговой декларации по налогу на прибыль организаций, представленной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"г" пункта 6</w:t>
      </w:r>
      <w:r>
        <w:rPr>
          <w:rFonts w:ascii="Arial" w:hAnsi="Arial" w:cs="Arial"/>
          <w:sz w:val="16"/>
          <w:sz-cs w:val="16"/>
        </w:rPr>
        <w:t xml:space="preserve"> настоящих Правил, составляют менее 80 процентов всех доходов организации за этот год, определяемых как сумма значений строк 010 и 020 листа 2 налоговой декларации по налогу на прибыль организаций;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если сумма остатков ссудной задолженности по кредитам, исходя из которых начисляется субсидия в соответствии с настоящими Правилами, превышает 50 процентов всех доходов организации, указанных в налоговой декларации по налогу на прибыль организаций, копия которой представлена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"г" пункта 6</w:t>
      </w:r>
      <w:r>
        <w:rPr>
          <w:rFonts w:ascii="Arial" w:hAnsi="Arial" w:cs="Arial"/>
          <w:sz w:val="16"/>
          <w:sz-cs w:val="16"/>
        </w:rPr>
        <w:t xml:space="preserve"> настоящих Правил. При этом остаток ссудной задолженности для целей субсидии должен формироваться из средств, привлеченных по кредиту на цели, соответствующие целям, указанным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"б" пункта 10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9. Субсидия предоставляется в размере 95 процентов суммы фактических затрат организации на уплату процентов по кредиту. При этом размер субсидии не может превышать 100 процентов базового индикатора, рассчитанного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осуществляется", действующего на дату уплаты процентов по кредиту.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10. Для получения субсидий организации, с которыми заключены соглашения, представляют в Министерство промышленности и торговли Российской Федерации в 2020 году не чаще одного раза в месяц и не позднее 19 ноября 2020 г., в 2021 году не чаще одного раза в месяц и не позднее 18 ноября 2021 г., в 2022 году не чаще одного раза в месяц и не позднее 17 ноября 2022 г. заявление о предоставлении субсидии (далее - заявление) с приложением к нему следующих документов: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пользование кредитом, фактически понесенные затраты по которому в соответствии с заявлением подлежат возмещению, и своевременное его погашение, заверенные соответствующей кредитной организацией или ВЭБ.РФ;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справка о целевом использовании кредита с отметкой соответствующей кредитной организации или ВЭБ.РФ, подтверждающая использование кредита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2</w:t>
      </w:r>
      <w:r>
        <w:rPr>
          <w:rFonts w:ascii="Arial" w:hAnsi="Arial" w:cs="Arial"/>
          <w:sz w:val="16"/>
          <w:sz-cs w:val="16"/>
        </w:rPr>
        <w:t xml:space="preserve"> с приложением копий платежных документов, подписанных руководителем организации. При этом использованием кредита в целях,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признается осуществление организацией следующих расходов при производстве промышленной продукции, предусмотренной в справке, указанной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"б" пункта 6</w:t>
      </w:r>
      <w:r>
        <w:rPr>
          <w:rFonts w:ascii="Arial" w:hAnsi="Arial" w:cs="Arial"/>
          <w:sz w:val="16"/>
          <w:sz-cs w:val="16"/>
        </w:rPr>
        <w:t xml:space="preserve"> настоящих Правил: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аренда помещений и оборудования, сервисное обслуживание и содержание основных средств;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проведение текущего ремонта и обслуживание находящегося в эксплуатации оборудования;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приобретение оборудования, не являющегося амортизируемым имуществом,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спецодежду;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обеспечение нормальных условий труда и мер по технике безопасности;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услуги по охране имущества и иные услуги охранной деятельности;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услуги по содержанию имущества, в том числе расходы на коммунальные услуги;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транспортные и командировочные расходы;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оплата топливно-энергетических ресурсов;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услуги связи, а также услуги, технологически неразрывно связанные с услугами связи;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взносы по добровольному страхованию, если такое страхование является условием осуществления производственной деятельности;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приобретение неисключительного права на программное обеспечение, а также поддержка и обновление лицензионного программного обеспечения, в том числе баз данных;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работы по конфигурированию и модернизации программ;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создание и поддержание сайта организации в информационно-телекоммуникационной сети "Интернет";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финансирование опытно-конструкторских работ, приобретение неисключительных прав на результаты интеллектуальной деятельности и (или) средства индивидуализации, приобретение прав использования результатов интеллектуальной деятельности или средств индивидуализации;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подготовка и дополнительное профессиональное образование работников организации, приобретение справочной и технической литературы, а также курьерские услуги;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проведение мероприятий по размещению заказов на поставку товаров, выполнение работ и оказание услуг для обеспечения деятельности;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обеспечение участия в процедурах закупок товаров, работ и услуг и (или) исполнение обязательств, возникших в результате участия в процедурах закупок товаров, работ и услуг;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разработка технической, технологической и другой нормативно-регламентирующей документации по договору со сторонней организацией;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расчет размера субсидии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3</w:t>
      </w:r>
      <w:r>
        <w:rPr>
          <w:rFonts w:ascii="Arial" w:hAnsi="Arial" w:cs="Arial"/>
          <w:sz w:val="16"/>
          <w:sz-cs w:val="16"/>
        </w:rPr>
        <w:t xml:space="preserve">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справка, подписанная руководителем и главным бухгалтером (при наличии) и заверенная печатью (при наличии) организации, с указанием банковских реквизитов расчетных счетов организации, на которые в случае принятия положительного решения будет перечислена субсидия.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11. Предоставление субсидий осуществляется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12. Министерство промышленности и торговли Российской Федерации регистрирует в порядке поступления документы,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10</w:t>
      </w:r>
      <w:r>
        <w:rPr>
          <w:rFonts w:ascii="Arial" w:hAnsi="Arial" w:cs="Arial"/>
          <w:sz w:val="16"/>
          <w:sz-cs w:val="16"/>
        </w:rPr>
        <w:t xml:space="preserve"> настоящих Правил, в специальном журнале, который должен быть прошнурован, пронумерован постранично и скреплен печатью Министерства промышленности и торговли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13. Министерство промышленности и торговли Российской Федерации рассматривает в течение 30 календарных дней в порядке поступления документы,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10</w:t>
      </w:r>
      <w:r>
        <w:rPr>
          <w:rFonts w:ascii="Arial" w:hAnsi="Arial" w:cs="Arial"/>
          <w:sz w:val="16"/>
          <w:sz-cs w:val="16"/>
        </w:rPr>
        <w:t xml:space="preserve"> настоящих Правил, и проверяет полноту и достоверность содержащихся в них сведений, соответствие документов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пункту 10</w:t>
      </w:r>
      <w:r>
        <w:rPr>
          <w:rFonts w:ascii="Arial" w:hAnsi="Arial" w:cs="Arial"/>
          <w:sz w:val="16"/>
          <w:sz-cs w:val="16"/>
        </w:rPr>
        <w:t xml:space="preserve"> настоящих Правил, а также условиям соглашения.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Решение о предоставлении субсидии либо мотивированное решение об отказе в предоставлении субсидии принимается Министерством промышленности и торговли Российской Федерации по мере рассмотрения документов для получения субсидии: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2020 году - не позднее 21 декабря 2020 г.;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2021 году - не позднее 20 декабря 2021 г.;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2022 году - не позднее 19 декабря 2022 г.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14. Основаниями для отказа в предоставлении субсидии являются: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несоответствие представленных документов требованиям, предусмотренным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10</w:t>
      </w:r>
      <w:r>
        <w:rPr>
          <w:rFonts w:ascii="Arial" w:hAnsi="Arial" w:cs="Arial"/>
          <w:sz w:val="16"/>
          <w:sz-cs w:val="16"/>
        </w:rPr>
        <w:t xml:space="preserve"> настоящих Правил, а также условиям соглашения;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непредставление (представление не в полном объеме)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10</w:t>
      </w:r>
      <w:r>
        <w:rPr>
          <w:rFonts w:ascii="Arial" w:hAnsi="Arial" w:cs="Arial"/>
          <w:sz w:val="16"/>
          <w:sz-cs w:val="16"/>
        </w:rPr>
        <w:t xml:space="preserve"> настоящих Правил документов, наличие в них недостоверной информации;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наличие в составе заявления (или в справке о целевом использовании кредита) сведений о расходах, не перечисленных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"б" пункта 10</w:t>
      </w:r>
      <w:r>
        <w:rPr>
          <w:rFonts w:ascii="Arial" w:hAnsi="Arial" w:cs="Arial"/>
          <w:sz w:val="16"/>
          <w:sz-cs w:val="16"/>
        </w:rPr>
        <w:t xml:space="preserve"> настоящих Правил, при производстве промышленной продукции;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получение организацией субсидии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если процентная ставка по кредитному договору, предоставляемому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"д" пункта 6</w:t>
      </w:r>
      <w:r>
        <w:rPr>
          <w:rFonts w:ascii="Arial" w:hAnsi="Arial" w:cs="Arial"/>
          <w:sz w:val="16"/>
          <w:sz-cs w:val="16"/>
        </w:rPr>
        <w:t xml:space="preserve"> настоящих Правил, превышает предельный уровень конечной ставки кредитования, рассчитанный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15. Министерство промышленности и торговли Российской Федерации в течение 10 календарных дней со дня принятия решения уведомляет в письменной форме о принятом решении организацию, подавшую заявление.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16. Субсидии перечисляются в течение 10 календарных дней со дня принятия решения о предоставлении субсидии в установленном порядке на расчетный счет организации, открытый в кредитной организации, в размере, рассчитанном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3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17. Результатом предоставления субсидии является развитие оборонно-промышленного комплекса на основе обеспечения развития и использования современных средств производства. Показателем, необходимым для достижения результата предоставления субсидии, является осуществление в году заключения соглашения производства продукции в объеме не менее чем 105 процентов объема произведенной и реализованной организацией продукции в году, предшествующем году заключения соглашения (в стоимостном выражении).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Организации, заключившие соглашение в 2020 году, обязаны представить не позднее 15 февраля 2021 г. (в случае получения субсидии в 2020 году), а также не позднее 1 сентября 2021 г. (в случае получения субсидии в 2021 году) отчет о выполнении показателя в 2020 году, необходимого для достижения результата предоставления субсидии,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4</w:t>
      </w:r>
      <w:r>
        <w:rPr>
          <w:rFonts w:ascii="Arial" w:hAnsi="Arial" w:cs="Arial"/>
          <w:sz w:val="16"/>
          <w:sz-cs w:val="16"/>
        </w:rPr>
        <w:t xml:space="preserve"> с приложением к отчету копии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формы П-1</w:t>
      </w:r>
      <w:r>
        <w:rPr>
          <w:rFonts w:ascii="Arial" w:hAnsi="Arial" w:cs="Arial"/>
          <w:sz w:val="16"/>
          <w:sz-cs w:val="16"/>
        </w:rPr>
        <w:t xml:space="preserve"> за 2020 год, подписанной руководителем и главным бухгалтером (при наличии) и заверенной печатью (при наличии) организации.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Организации, заключившие соглашение в 2021 году, обязаны представить не позднее 14 февраля 2022 г. (в случае получения субсидии в 2021 году), а также не позднее 1 сентября 2022 г. (в случае получения субсидии в 2022 году)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отчет</w:t>
      </w:r>
      <w:r>
        <w:rPr>
          <w:rFonts w:ascii="Arial" w:hAnsi="Arial" w:cs="Arial"/>
          <w:sz w:val="16"/>
          <w:sz-cs w:val="16"/>
        </w:rPr>
        <w:t xml:space="preserve"> о выполнении показателя в 2021 году, необходимого для достижения результата предоставления субсидии,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4</w:t>
      </w:r>
      <w:r>
        <w:rPr>
          <w:rFonts w:ascii="Arial" w:hAnsi="Arial" w:cs="Arial"/>
          <w:sz w:val="16"/>
          <w:sz-cs w:val="16"/>
        </w:rPr>
        <w:t xml:space="preserve"> к настоящим Правилам с приложением к отчету копии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формы П-1</w:t>
      </w:r>
      <w:r>
        <w:rPr>
          <w:rFonts w:ascii="Arial" w:hAnsi="Arial" w:cs="Arial"/>
          <w:sz w:val="16"/>
          <w:sz-cs w:val="16"/>
        </w:rPr>
        <w:t xml:space="preserve"> за 2021 год, подписанной руководителем и главным бухгалтером (при наличии) и заверенной печатью (при наличии) организации.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Организации, заключившие соглашение в 2022 году, обязаны представить не позднее 15 февраля 2023 г. (в случае получения субсидии в 2022 году), а также не позднее 1 сентября 2023 г. (в случае получения субсидии в 2023 году)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отчет</w:t>
      </w:r>
      <w:r>
        <w:rPr>
          <w:rFonts w:ascii="Arial" w:hAnsi="Arial" w:cs="Arial"/>
          <w:sz w:val="16"/>
          <w:sz-cs w:val="16"/>
        </w:rPr>
        <w:t xml:space="preserve"> о выполнении показателя в 2022 году, необходимого для достижения результата предоставления субсидии,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4</w:t>
      </w:r>
      <w:r>
        <w:rPr>
          <w:rFonts w:ascii="Arial" w:hAnsi="Arial" w:cs="Arial"/>
          <w:sz w:val="16"/>
          <w:sz-cs w:val="16"/>
        </w:rPr>
        <w:t xml:space="preserve"> к настоящим Правилам с приложением к отчету копии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формы П-1</w:t>
      </w:r>
      <w:r>
        <w:rPr>
          <w:rFonts w:ascii="Arial" w:hAnsi="Arial" w:cs="Arial"/>
          <w:sz w:val="16"/>
          <w:sz-cs w:val="16"/>
        </w:rPr>
        <w:t xml:space="preserve"> за 2022 год, подписанной руководителем и главным бухгалтером (при наличии) и заверенной печатью (при наличии) организации.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18. Информация о размерах и сроках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19. Министерство промышленности и торговли Российской Федерации и уполномоченные органы государственного финансового контроля проводят обязательные проверки соблюдения организацией целей, условий и порядка предоставления субсидии, которые предусмотрены настоящими Правилами и соглашением.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установления по итогам проверок, проведенных Министерством промышленности и торговли Российской Федерации и (или) уполномоченным органом государственного финансового контроля, факта нарушения условий предоставления субсидии, а также в случае недостижения результата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на основании: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требования Министерства промышленности и торговли Российской Федерации - не позднее 10-го рабочего дня со дня получения организацией указанного требования, направленного заказным почтовым отправлением с уведомлением о вручении;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20. В случае невыполнения показателя, необходимого для достижения результата предоставляемой в 2020 - 2022 годах субсидии, указанного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17</w:t>
      </w:r>
      <w:r>
        <w:rPr>
          <w:rFonts w:ascii="Arial" w:hAnsi="Arial" w:cs="Arial"/>
          <w:sz w:val="16"/>
          <w:sz-cs w:val="16"/>
        </w:rPr>
        <w:t xml:space="preserve"> настоящих Правил, субсидия подлежит взысканию в доход федерального бюджета в части, пропорциональной отклонению фактического объема производства продукции от величины, рассчитанной в соответствии с показателем, установленным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17</w:t>
      </w:r>
      <w:r>
        <w:rPr>
          <w:rFonts w:ascii="Arial" w:hAnsi="Arial" w:cs="Arial"/>
          <w:sz w:val="16"/>
          <w:sz-cs w:val="16"/>
        </w:rPr>
        <w:t xml:space="preserve"> настоящих Правил, увеличенной на коэффициент (k), учитывающий средний размер ключевой ставки, устанавливаемой Центральным банком Российской Федерации, и который рассчитывается по формуле: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k = (1 + r)</w:t>
      </w:r>
      <w:r>
        <w:rPr>
          <w:rFonts w:ascii="Arial" w:hAnsi="Arial" w:cs="Arial"/>
          <w:sz w:val="16"/>
          <w:sz-cs w:val="16"/>
          <w:vertAlign w:val="superscript"/>
        </w:rPr>
        <w:t xml:space="preserve">s</w:t>
      </w:r>
      <w:r>
        <w:rPr>
          <w:rFonts w:ascii="Arial" w:hAnsi="Arial" w:cs="Arial"/>
          <w:sz w:val="16"/>
          <w:sz-cs w:val="16"/>
        </w:rPr>
        <w:t xml:space="preserve">,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где: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s - количество лет с даты заключения организацией соглашения (дробное значение с округлением до десятой доли при наличии неполных лет);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r - средний размер ключевой ставки, устанавливаемой Центральным банком Российской Федерации, рассчитываемый по формуле: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position w:val="-1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  <w:position w:val="-1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где: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n - количество периодов, в которых действовали различные уровни ключевой ставки Центрального банка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d</w:t>
      </w:r>
      <w:r>
        <w:rPr>
          <w:rFonts w:ascii="Arial" w:hAnsi="Arial" w:cs="Arial"/>
          <w:sz w:val="16"/>
          <w:sz-cs w:val="16"/>
          <w:vertAlign w:val="subscript"/>
        </w:rPr>
        <w:t xml:space="preserve">i</w:t>
      </w:r>
      <w:r>
        <w:rPr>
          <w:rFonts w:ascii="Arial" w:hAnsi="Arial" w:cs="Arial"/>
          <w:sz w:val="16"/>
          <w:sz-cs w:val="16"/>
        </w:rPr>
        <w:t xml:space="preserve"> - количество календарных дней действия i-й ключевой ставки Центрального банка Российской Федерации (в пределах периода с даты заключения организацией соглашения);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k</w:t>
      </w:r>
      <w:r>
        <w:rPr>
          <w:rFonts w:ascii="Arial" w:hAnsi="Arial" w:cs="Arial"/>
          <w:sz w:val="16"/>
          <w:sz-cs w:val="16"/>
          <w:vertAlign w:val="subscript"/>
        </w:rPr>
        <w:t xml:space="preserve">i</w:t>
      </w:r>
      <w:r>
        <w:rPr>
          <w:rFonts w:ascii="Arial" w:hAnsi="Arial" w:cs="Arial"/>
          <w:sz w:val="16"/>
          <w:sz-cs w:val="16"/>
        </w:rPr>
        <w:t xml:space="preserve"> - значения уровней ключевой ставки Центрального банка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t - суммарное количество календарных дней с даты заключения организацией соглашения.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1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 2020 - 2022 годах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организациям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производящим продукцию станкостроения,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для возмещения части затрат,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понесенных в период с 2017 по 2022 годы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уплату процентов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полученным в российских кредитных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организациях и государственной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корпорации развития "ВЭБ.РФ",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пополнение оборотных средств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 (или) на финансирование текущей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СПРАВКА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 деятельности организации и промышленной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станкостроения, выпускаемой организацией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both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Период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промышленной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Код по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ОК</w:t>
      </w:r>
      <w:r>
        <w:rPr>
          <w:rFonts w:ascii="Arial" w:hAnsi="Arial" w:cs="Arial"/>
          <w:sz w:val="16"/>
          <w:sz-cs w:val="16"/>
        </w:rPr>
        <w:t xml:space="preserve"> 034-2014 (КПЕС 2008)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Объем произведенной промышленной продукции (штук)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Объем произведенной промышленной продукции (тыс. 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Доход от реализации промышленной продукции (тыс. 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Валовой доход в соответствующем квартале (тыс. рублей)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Руководитель организации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/>
      <w:r>
        <w:rPr>
          <w:rFonts w:ascii="Arial" w:hAnsi="Arial" w:cs="Arial"/>
          <w:sz w:val="16"/>
          <w:sz-cs w:val="16"/>
        </w:rPr>
        <w:t xml:space="preserve">Главный бухгалтер</w:t>
      </w:r>
    </w:p>
    <w:p>
      <w:pPr/>
      <w:r>
        <w:rPr>
          <w:rFonts w:ascii="Arial" w:hAnsi="Arial" w:cs="Arial"/>
          <w:sz w:val="16"/>
          <w:sz-cs w:val="16"/>
        </w:rPr>
        <w:t xml:space="preserve">(при наличии)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"__" _______ 20__ г.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М.П. (при наличии)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Заполняется включительно по квартал, предшествующий дате составления настоящей справки.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2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 2020 - 2022 годах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организациям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производящим продукцию станкостроения,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для возмещения части затрат,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понесенных в период с 2017 по 2022 годы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уплату процентов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полученным в российских кредитных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организациях и государственной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корпорации развития "ВЭБ.РФ",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пополнение оборотных средств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 (или) на финансирование текущей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СПРАВКА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 целевом использовании кредита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Номер и дата заключения кредитного договора (открытия кредитной линии)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кредита - всего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получения кредитных средств (транша в рамках кредитной линии) в соответствии с кредитным договором, подлежащих субсидированию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полученных кредитных средств, подлежащих субсидированию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Целевое использование кредита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both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вид расходов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расходов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и номер платежного поручения, подтверждающего несение расходов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Использование  кредита  на цели, указанные в кредитном договоре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от "  "            20   г. N    , подтверждаю.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Руководитель организации, выдавшей кредит (уполномоченное лицо)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/>
      <w:r>
        <w:rPr>
          <w:rFonts w:ascii="Arial" w:hAnsi="Arial" w:cs="Arial"/>
          <w:sz w:val="16"/>
          <w:sz-cs w:val="16"/>
        </w:rPr>
        <w:t xml:space="preserve">Руководитель организации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/>
      <w:r>
        <w:rPr>
          <w:rFonts w:ascii="Arial" w:hAnsi="Arial" w:cs="Arial"/>
          <w:sz w:val="16"/>
          <w:sz-cs w:val="16"/>
        </w:rPr>
        <w:t xml:space="preserve">Главный бухгалтер (при наличии)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М.П. (при наличии)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Заполняется нарастающим итогом с момента получения кредита и до момента подачи документов в Минпромторг России.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&lt;**&gt; Вид расходов указывается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"б" пункта 10</w:t>
      </w:r>
      <w:r>
        <w:rPr>
          <w:rFonts w:ascii="Arial" w:hAnsi="Arial" w:cs="Arial"/>
          <w:sz w:val="16"/>
          <w:sz-cs w:val="16"/>
        </w:rPr>
        <w:t xml:space="preserve"> Правил предоставления в 2020 - 2022 годах субсидий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период с 2017 по 2022 годы на уплату процентов по кредитам, полученным в российских кредитных организациях и государственной корпорации развития "ВЭБ.РФ" на пополнение оборотных средств и (или) на финансирование текущей производственной деятельности, утвержденных постановлением Правительства Российской Федерации от 27 декабря 2019 г. N 1878 "Об утверждении Правил предоставления в 2020 - 2022 годах субсидий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период с 2017 по 2022 годы на уплату процентов по кредитам, полученным в российских кредитных организациях и государственной корпорации развития "ВЭБ.РФ" на пополнение оборотных средств и (или) на финансирование текущей производственной деятельности".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3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 2020 - 2022 годах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организациям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производящим продукцию станкостроения,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для возмещения части затрат,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понесенных в период с 2017 по 2022 годы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уплату процентов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полученным в российских кредитных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организациях и государственной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корпорации развития "ВЭБ.РФ",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пополнение оборотных средств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 (или) на финансирование текущей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РАСЧЕТ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размера субсидии, предоставляемой в 2020 - 2022 годах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федерального бюджета организациям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комплекса, производящим продукцию станкостроения,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для возмещения части затрат, понесенных в период с 2017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 2022 годы на уплату процентов по кредитам, полученным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российских кредитных организациях и государственной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корпорации развития "ВЭБ.РФ", на пополнение оборотных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средств и (или) на финансирование текущей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Расчетный   период  (период,  затраты  по  которому  в  соответствии  с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заявлением подлежат возмещению) 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(полное наименование организации)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ИНН ___________________ КПП _____________________ расчетный счет 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 в _________________________ БИК 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(наименование организации, выдавшей кредит)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корреспондентский счет 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код вида деятельности организации по </w:t>
      </w:r>
      <w:r>
        <w:rPr>
          <w:rFonts w:ascii="Courier New" w:hAnsi="Courier New" w:cs="Courier New"/>
          <w:sz w:val="20"/>
          <w:sz-cs w:val="20"/>
          <w:u w:val="single"/>
          <w:color w:val="0000FF"/>
        </w:rPr>
        <w:t xml:space="preserve">ОК</w:t>
      </w:r>
      <w:r>
        <w:rPr>
          <w:rFonts w:ascii="Courier New" w:hAnsi="Courier New" w:cs="Courier New"/>
          <w:sz w:val="20"/>
          <w:sz-cs w:val="20"/>
        </w:rPr>
        <w:t xml:space="preserve"> 029-2014 (КДЕС Ред. 2) 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         (цель кредита)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по кредитному договору от "__" ___________ 20__ г. N ____ в 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(наименование организации, выдавшей кредит)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с "__" ______________________ 20__ г. по "__" _____________________ 20__ г.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1. Дата предоставления кредита _______________________________________________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Срок погашения кредита по кредитному договору _____________________________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Сумма полученного кредита _________________________________________________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Процентная ставка по кредиту ______________________________________________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5. Размер базового индикатора ________________________________________________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Остаток ссудной задолженности, исходя из которой начисляется субсидия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Количество дней пользования кредитом в расчетном периоде (периоде, затраты по которому в соответствии с заявлением подлежат возмещению)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</w:t>
      </w:r>
    </w:p>
    <w:p>
      <w:pPr>
        <w:jc w:val="center"/>
      </w:pPr>
      <w:r>
        <w:rPr>
          <w:rFonts w:ascii="Arial" w:hAnsi="Arial" w:cs="Arial"/>
          <w:sz w:val="16"/>
          <w:sz-cs w:val="16"/>
          <w:position w:val="-19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субсидии</w:t>
      </w:r>
    </w:p>
    <w:p>
      <w:pPr>
        <w:jc w:val="center"/>
      </w:pPr>
      <w:r>
        <w:rPr>
          <w:rFonts w:ascii="Arial" w:hAnsi="Arial" w:cs="Arial"/>
          <w:sz w:val="16"/>
          <w:sz-cs w:val="16"/>
          <w:position w:val="-19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Размер субсидии ______ рублей (минимальная величина 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графы 3</w:t>
      </w:r>
      <w:r>
        <w:rPr>
          <w:rFonts w:ascii="Arial" w:hAnsi="Arial" w:cs="Arial"/>
          <w:sz w:val="16"/>
          <w:sz-cs w:val="16"/>
        </w:rPr>
        <w:t xml:space="preserve"> или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4</w:t>
      </w:r>
      <w:r>
        <w:rPr>
          <w:rFonts w:ascii="Arial" w:hAnsi="Arial" w:cs="Arial"/>
          <w:sz w:val="16"/>
          <w:sz-cs w:val="16"/>
        </w:rPr>
        <w:t xml:space="preserve">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Руководитель организации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/>
      <w:r>
        <w:rPr>
          <w:rFonts w:ascii="Arial" w:hAnsi="Arial" w:cs="Arial"/>
          <w:sz w:val="16"/>
          <w:sz-cs w:val="16"/>
        </w:rPr>
        <w:t xml:space="preserve">Главный бухгалтер</w:t>
      </w:r>
    </w:p>
    <w:p>
      <w:pPr/>
      <w:r>
        <w:rPr>
          <w:rFonts w:ascii="Arial" w:hAnsi="Arial" w:cs="Arial"/>
          <w:sz w:val="16"/>
          <w:sz-cs w:val="16"/>
        </w:rPr>
        <w:t xml:space="preserve">(при наличии)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"__" _________ 20__ г.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М.П. (при наличии)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Расчет подтверждается: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Руководитель организации, выдавшей кредит (уполномоченное лицо)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Без учета задолженности по кредитам и процентам по ним, уплаченным с нарушением установленного графика.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4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 2020 - 2022 годах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организациям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производящим продукцию станкостроения,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для возмещения части затрат,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понесенных в период с 2017 по 2022 годы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уплату процентов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полученным в российских кредитных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организациях и государственной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корпорации развития "ВЭБ.РФ",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 пополнение оборотных средств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 (или) на финансирование текущей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ОТЧЕТ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 выполнении показателей, необходимых для достижения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результата предоставляемой в 2020 - 2022 годах субсидии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федерального бюджета организациям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комплекса, производящим продукцию станкостроения,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для возмещения части затрат, понесенных в период с 2017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 2022 годы на уплату процентов по кредитам, полученным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российских кредитных организациях и государственной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корпорации развития "ВЭБ.РФ", на пополнение оборотных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средств и (или) на финансирование текущей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производственной деятельности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Период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промышленной продукции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Объем произведенной промышленной продукции (штук)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Объем произведенной промышленной продукции (тыс. 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Доход от реализации промышленной продукции (тыс. 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Валовой доход организации за год (тыс. 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Уровень загрузки производственных мощностей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2020 год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2021 год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2022 год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Руководитель организации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/>
      <w:r>
        <w:rPr>
          <w:rFonts w:ascii="Arial" w:hAnsi="Arial" w:cs="Arial"/>
          <w:sz w:val="16"/>
          <w:sz-cs w:val="16"/>
        </w:rPr>
        <w:t xml:space="preserve">Главный бухгалтер</w:t>
      </w:r>
    </w:p>
    <w:p>
      <w:pPr/>
      <w:r>
        <w:rPr>
          <w:rFonts w:ascii="Arial" w:hAnsi="Arial" w:cs="Arial"/>
          <w:sz w:val="16"/>
          <w:sz-cs w:val="16"/>
        </w:rPr>
        <w:t xml:space="preserve">(при наличии)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(подпись)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(Ф.И.О.)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"__" _________ 20__ г.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М.П. (при наличии)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Только в отношении продукции по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коду 28.4</w:t>
      </w:r>
      <w:r>
        <w:rPr>
          <w:rFonts w:ascii="Arial" w:hAnsi="Arial" w:cs="Arial"/>
          <w:sz w:val="16"/>
          <w:sz-cs w:val="16"/>
        </w:rPr>
        <w:t xml:space="preserve"> ОК 034-2014 (КПЕС 2008).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Sinyuk Roman Vladimirovich</dc:creator>
</cp:coreProperties>
</file>

<file path=docProps/meta.xml><?xml version="1.0" encoding="utf-8"?>
<meta xmlns="http://schemas.apple.com/cocoa/2006/metadata">
  <generator>CocoaOOXMLWriter/2022.2</generator>
</meta>
</file>